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320346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FOCUS, OBSERVE</w:t>
      </w:r>
    </w:p>
    <w:p w:rsidR="00630C21" w:rsidRPr="003809FC" w:rsidRDefault="00320346" w:rsidP="00630C21">
      <w:pPr>
        <w:spacing w:after="0"/>
        <w:jc w:val="center"/>
        <w:rPr>
          <w:b/>
          <w:bCs/>
        </w:rPr>
      </w:pPr>
      <w:r>
        <w:rPr>
          <w:b/>
          <w:bCs/>
        </w:rPr>
        <w:t>Week of November 4-8</w:t>
      </w:r>
      <w:r w:rsidR="003809FC" w:rsidRPr="003809FC">
        <w:rPr>
          <w:b/>
          <w:bCs/>
        </w:rPr>
        <w:t>, 2013</w:t>
      </w:r>
    </w:p>
    <w:p w:rsidR="00630C21" w:rsidRPr="005E3DA7" w:rsidRDefault="00C83C60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Region</w:t>
      </w:r>
      <w:r w:rsidR="003809FC">
        <w:rPr>
          <w:b/>
          <w:bCs/>
          <w:sz w:val="26"/>
          <w:szCs w:val="26"/>
        </w:rPr>
        <w:t xml:space="preserve"> Leadership</w:t>
      </w:r>
      <w:r w:rsidR="00803395">
        <w:rPr>
          <w:b/>
          <w:bCs/>
          <w:sz w:val="26"/>
          <w:szCs w:val="26"/>
        </w:rPr>
        <w:t xml:space="preserve"> Team</w:t>
      </w:r>
      <w:r>
        <w:rPr>
          <w:b/>
          <w:bCs/>
          <w:sz w:val="26"/>
          <w:szCs w:val="26"/>
        </w:rPr>
        <w:t>s</w:t>
      </w:r>
    </w:p>
    <w:p w:rsidR="0042514F" w:rsidRPr="003809FC" w:rsidRDefault="0042514F" w:rsidP="002A1BCA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444E1D" w:rsidRPr="003809FC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3809FC">
        <w:rPr>
          <w:b/>
          <w:bCs/>
          <w:sz w:val="26"/>
          <w:szCs w:val="26"/>
        </w:rPr>
        <w:t>Guiding Question:</w:t>
      </w:r>
    </w:p>
    <w:p w:rsidR="0042514F" w:rsidRPr="003809FC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 xml:space="preserve">How </w:t>
      </w:r>
      <w:r w:rsidR="00803395" w:rsidRPr="003809FC">
        <w:rPr>
          <w:rFonts w:eastAsia="Times New Roman" w:cs="Times New Roman"/>
          <w:color w:val="000000"/>
        </w:rPr>
        <w:t>does the regular use of data to improve student learning and how might we, at the district-level, support buildings in their work to improve student learning?</w:t>
      </w:r>
    </w:p>
    <w:p w:rsidR="002E6A14" w:rsidRPr="003809FC" w:rsidRDefault="002E6A14" w:rsidP="00803395">
      <w:pPr>
        <w:spacing w:after="0" w:line="240" w:lineRule="auto"/>
        <w:rPr>
          <w:bCs/>
          <w:sz w:val="10"/>
          <w:szCs w:val="10"/>
        </w:rPr>
      </w:pPr>
    </w:p>
    <w:p w:rsidR="0042514F" w:rsidRPr="003809FC" w:rsidRDefault="00444E1D" w:rsidP="0042514F">
      <w:pPr>
        <w:spacing w:after="0"/>
        <w:rPr>
          <w:b/>
          <w:bCs/>
        </w:rPr>
      </w:pPr>
      <w:r w:rsidRPr="003809FC">
        <w:rPr>
          <w:b/>
          <w:bCs/>
        </w:rPr>
        <w:t>Long term target:</w:t>
      </w:r>
    </w:p>
    <w:p w:rsidR="0042514F" w:rsidRPr="003809FC" w:rsidRDefault="00803395" w:rsidP="0042514F">
      <w:pPr>
        <w:spacing w:after="0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>Implement the regular use of data to improve student learning using the Data Wise process</w:t>
      </w:r>
    </w:p>
    <w:p w:rsidR="0042514F" w:rsidRPr="003809FC" w:rsidRDefault="0042514F" w:rsidP="0042514F">
      <w:pPr>
        <w:spacing w:after="0"/>
        <w:rPr>
          <w:b/>
          <w:bCs/>
          <w:sz w:val="10"/>
          <w:szCs w:val="10"/>
        </w:rPr>
      </w:pPr>
    </w:p>
    <w:p w:rsidR="00803395" w:rsidRPr="00AD5A80" w:rsidRDefault="00444E1D" w:rsidP="00803395">
      <w:pPr>
        <w:spacing w:after="0"/>
        <w:rPr>
          <w:rFonts w:asciiTheme="minorHAnsi" w:hAnsiTheme="minorHAnsi"/>
          <w:bCs/>
        </w:rPr>
      </w:pPr>
      <w:r w:rsidRPr="00AD5A80">
        <w:rPr>
          <w:rFonts w:asciiTheme="minorHAnsi" w:hAnsiTheme="minorHAnsi"/>
          <w:b/>
          <w:bCs/>
        </w:rPr>
        <w:t>Short term targets:</w:t>
      </w:r>
    </w:p>
    <w:p w:rsidR="00AD5A80" w:rsidRPr="00AD5A80" w:rsidRDefault="00AD5A80" w:rsidP="00AD5A80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</w:rPr>
        <w:t>Understand the importance of clarifying the purpose of an observation</w:t>
      </w:r>
    </w:p>
    <w:p w:rsidR="00AD5A80" w:rsidRPr="00AD5A80" w:rsidRDefault="00AD5A80" w:rsidP="00AD5A80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</w:rPr>
        <w:t>Learn the objectives of a FOCUS meeting</w:t>
      </w:r>
    </w:p>
    <w:p w:rsidR="00AD5A80" w:rsidRPr="00AD5A80" w:rsidRDefault="00AD5A80" w:rsidP="00AD5A80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</w:rPr>
        <w:t>Use descriptive language to bring out details of what we see</w:t>
      </w:r>
    </w:p>
    <w:p w:rsidR="003809FC" w:rsidRPr="00AD5A80" w:rsidRDefault="00AD5A80" w:rsidP="00AD5A80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</w:rPr>
        <w:t>Describe teaching and learning using evidence</w:t>
      </w:r>
    </w:p>
    <w:p w:rsidR="00AD5A80" w:rsidRPr="00AD5A80" w:rsidRDefault="00AD5A80" w:rsidP="00AD5A80">
      <w:pPr>
        <w:pStyle w:val="ListParagraph"/>
        <w:spacing w:after="0" w:line="240" w:lineRule="auto"/>
        <w:ind w:left="360"/>
        <w:rPr>
          <w:rFonts w:asciiTheme="minorHAnsi" w:hAnsiTheme="minorHAnsi"/>
          <w:sz w:val="10"/>
          <w:szCs w:val="10"/>
        </w:rPr>
      </w:pPr>
    </w:p>
    <w:p w:rsidR="0007729A" w:rsidRPr="00AD5A80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AD5A80">
        <w:rPr>
          <w:rFonts w:asciiTheme="minorHAnsi" w:hAnsiTheme="minorHAnsi"/>
          <w:b/>
        </w:rPr>
        <w:t>Read in Advance:</w:t>
      </w:r>
    </w:p>
    <w:p w:rsidR="00AD5A80" w:rsidRPr="00AD5A80" w:rsidRDefault="00AD5A80" w:rsidP="00AD5A80">
      <w:pPr>
        <w:pStyle w:val="ListParagraph"/>
        <w:numPr>
          <w:ilvl w:val="0"/>
          <w:numId w:val="24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  <w:i/>
        </w:rPr>
        <w:t xml:space="preserve">Data Wise, </w:t>
      </w:r>
      <w:r w:rsidRPr="00AD5A80">
        <w:rPr>
          <w:rFonts w:asciiTheme="minorHAnsi" w:hAnsiTheme="minorHAnsi"/>
        </w:rPr>
        <w:t>pp. 20-28 (BLUE)</w:t>
      </w:r>
    </w:p>
    <w:p w:rsidR="00AD5A80" w:rsidRPr="00AD5A80" w:rsidRDefault="00AD5A80" w:rsidP="00AD5A80">
      <w:pPr>
        <w:pStyle w:val="ListParagraph"/>
        <w:numPr>
          <w:ilvl w:val="0"/>
          <w:numId w:val="24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  <w:i/>
        </w:rPr>
        <w:t xml:space="preserve">Data Wise in Action, </w:t>
      </w:r>
      <w:r w:rsidRPr="00AD5A80">
        <w:rPr>
          <w:rFonts w:asciiTheme="minorHAnsi" w:hAnsiTheme="minorHAnsi"/>
        </w:rPr>
        <w:t>pp. 9-28 (GREEN)</w:t>
      </w:r>
    </w:p>
    <w:p w:rsidR="00AD5A80" w:rsidRPr="00AD5A80" w:rsidRDefault="00AD5A80" w:rsidP="00AD5A80">
      <w:pPr>
        <w:pStyle w:val="ListParagraph"/>
        <w:numPr>
          <w:ilvl w:val="0"/>
          <w:numId w:val="24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  <w:i/>
        </w:rPr>
        <w:t xml:space="preserve">Data Wise, </w:t>
      </w:r>
      <w:r w:rsidRPr="00AD5A80">
        <w:rPr>
          <w:rFonts w:asciiTheme="minorHAnsi" w:hAnsiTheme="minorHAnsi"/>
        </w:rPr>
        <w:t>pp. 97-115 (BLUE)</w:t>
      </w:r>
    </w:p>
    <w:p w:rsidR="00AD5A80" w:rsidRPr="00AD5A80" w:rsidRDefault="00AD5A80" w:rsidP="00AD5A80">
      <w:pPr>
        <w:pStyle w:val="ListParagraph"/>
        <w:numPr>
          <w:ilvl w:val="0"/>
          <w:numId w:val="24"/>
        </w:numPr>
        <w:spacing w:after="0" w:line="240" w:lineRule="auto"/>
        <w:rPr>
          <w:rFonts w:asciiTheme="minorHAnsi" w:hAnsiTheme="minorHAnsi"/>
        </w:rPr>
      </w:pPr>
      <w:r w:rsidRPr="00AD5A80">
        <w:rPr>
          <w:rFonts w:asciiTheme="minorHAnsi" w:hAnsiTheme="minorHAnsi"/>
          <w:i/>
        </w:rPr>
        <w:t xml:space="preserve">Data Wise in Action, </w:t>
      </w:r>
      <w:r w:rsidRPr="00AD5A80">
        <w:rPr>
          <w:rFonts w:asciiTheme="minorHAnsi" w:hAnsiTheme="minorHAnsi"/>
        </w:rPr>
        <w:t>pp. 87-104 (GREEN)</w:t>
      </w:r>
    </w:p>
    <w:p w:rsidR="00AD5A80" w:rsidRPr="00AD5A80" w:rsidRDefault="00AD5A80" w:rsidP="00AD5A80">
      <w:pPr>
        <w:pStyle w:val="ListParagraph"/>
        <w:numPr>
          <w:ilvl w:val="0"/>
          <w:numId w:val="2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  <w:i/>
        </w:rPr>
        <w:t>*</w:t>
      </w:r>
      <w:proofErr w:type="gramStart"/>
      <w:r>
        <w:rPr>
          <w:rFonts w:asciiTheme="minorHAnsi" w:hAnsiTheme="minorHAnsi"/>
          <w:i/>
        </w:rPr>
        <w:t>*</w:t>
      </w:r>
      <w:r w:rsidRPr="00AD5A80">
        <w:rPr>
          <w:rFonts w:asciiTheme="minorHAnsi" w:hAnsiTheme="minorHAnsi"/>
          <w:i/>
        </w:rPr>
        <w:t>(</w:t>
      </w:r>
      <w:proofErr w:type="gramEnd"/>
      <w:r w:rsidRPr="00AD5A80">
        <w:rPr>
          <w:rFonts w:asciiTheme="minorHAnsi" w:hAnsiTheme="minorHAnsi"/>
          <w:i/>
        </w:rPr>
        <w:t xml:space="preserve">For facilitator: </w:t>
      </w:r>
      <w:r w:rsidRPr="00AD5A80">
        <w:rPr>
          <w:rFonts w:asciiTheme="minorHAnsi" w:hAnsiTheme="minorHAnsi"/>
        </w:rPr>
        <w:t xml:space="preserve">Elizabeth A. City, Richard F. Elmore, Sarah E. </w:t>
      </w:r>
      <w:proofErr w:type="spellStart"/>
      <w:r w:rsidRPr="00AD5A80">
        <w:rPr>
          <w:rFonts w:asciiTheme="minorHAnsi" w:hAnsiTheme="minorHAnsi"/>
        </w:rPr>
        <w:t>Fiarman</w:t>
      </w:r>
      <w:proofErr w:type="spellEnd"/>
      <w:r w:rsidRPr="00AD5A80">
        <w:rPr>
          <w:rFonts w:asciiTheme="minorHAnsi" w:hAnsiTheme="minorHAnsi"/>
        </w:rPr>
        <w:t xml:space="preserve">, and Lee </w:t>
      </w:r>
      <w:proofErr w:type="spellStart"/>
      <w:r w:rsidRPr="00AD5A80">
        <w:rPr>
          <w:rFonts w:asciiTheme="minorHAnsi" w:hAnsiTheme="minorHAnsi"/>
        </w:rPr>
        <w:t>Teitel</w:t>
      </w:r>
      <w:proofErr w:type="spellEnd"/>
      <w:r w:rsidRPr="00AD5A80">
        <w:rPr>
          <w:rFonts w:asciiTheme="minorHAnsi" w:hAnsiTheme="minorHAnsi"/>
        </w:rPr>
        <w:t xml:space="preserve">. Chapters 4 and 5 in </w:t>
      </w:r>
      <w:r w:rsidRPr="00AD5A80">
        <w:rPr>
          <w:rFonts w:asciiTheme="minorHAnsi" w:hAnsiTheme="minorHAnsi"/>
          <w:i/>
        </w:rPr>
        <w:t>Instructional Rounds in Education</w:t>
      </w:r>
      <w:r w:rsidRPr="00AD5A80">
        <w:rPr>
          <w:rFonts w:asciiTheme="minorHAnsi" w:hAnsiTheme="minorHAnsi"/>
        </w:rPr>
        <w:t>. Cambridge, MA: Harvard Education Press, 2009.)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Materials:</w:t>
      </w:r>
    </w:p>
    <w:p w:rsidR="008C169E" w:rsidRDefault="008C169E" w:rsidP="008C169E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Chart paper</w:t>
      </w:r>
      <w:r w:rsidR="006924D5">
        <w:rPr>
          <w:rFonts w:asciiTheme="minorHAnsi" w:hAnsiTheme="minorHAnsi"/>
        </w:rPr>
        <w:t xml:space="preserve"> (label with “FOCUS: did 5</w:t>
      </w:r>
      <w:r w:rsidR="006924D5" w:rsidRPr="006924D5">
        <w:rPr>
          <w:rFonts w:asciiTheme="minorHAnsi" w:hAnsiTheme="minorHAnsi"/>
          <w:vertAlign w:val="superscript"/>
        </w:rPr>
        <w:t>th</w:t>
      </w:r>
      <w:r w:rsidR="006924D5">
        <w:rPr>
          <w:rFonts w:asciiTheme="minorHAnsi" w:hAnsiTheme="minorHAnsi"/>
        </w:rPr>
        <w:t xml:space="preserve"> grade team meet objectives?)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Markers</w:t>
      </w:r>
    </w:p>
    <w:p w:rsidR="006924D5" w:rsidRDefault="0007729A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Blank paper for each participant</w:t>
      </w:r>
    </w:p>
    <w:p w:rsidR="0007729A" w:rsidRDefault="006924D5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6924D5">
        <w:rPr>
          <w:rFonts w:asciiTheme="minorHAnsi" w:hAnsiTheme="minorHAnsi"/>
        </w:rPr>
        <w:t xml:space="preserve">One Vivid Image per person </w:t>
      </w:r>
    </w:p>
    <w:p w:rsidR="006924D5" w:rsidRPr="006924D5" w:rsidRDefault="006924D5" w:rsidP="006924D5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Handouts</w:t>
      </w:r>
      <w:r>
        <w:rPr>
          <w:rFonts w:asciiTheme="minorHAnsi" w:hAnsiTheme="minorHAnsi"/>
          <w:b/>
        </w:rPr>
        <w:t xml:space="preserve"> in Notebook</w:t>
      </w:r>
      <w:r w:rsidRPr="0007729A">
        <w:rPr>
          <w:rFonts w:asciiTheme="minorHAnsi" w:hAnsiTheme="minorHAnsi"/>
          <w:b/>
        </w:rPr>
        <w:t>:</w:t>
      </w:r>
    </w:p>
    <w:p w:rsidR="0007729A" w:rsidRPr="0007729A" w:rsidRDefault="0007729A" w:rsidP="0007729A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Agenda</w:t>
      </w:r>
    </w:p>
    <w:p w:rsidR="0007729A" w:rsidRDefault="00AD5A80" w:rsidP="0007729A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Purpose and Tasks Chart</w:t>
      </w:r>
    </w:p>
    <w:p w:rsidR="00AD5A80" w:rsidRPr="00535017" w:rsidRDefault="00AD5A80" w:rsidP="00535017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Background Information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Roles for this meeting: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Facilitator: </w:t>
      </w:r>
      <w:r w:rsidR="006924D5">
        <w:rPr>
          <w:rFonts w:asciiTheme="minorHAnsi" w:hAnsiTheme="minorHAnsi"/>
        </w:rPr>
        <w:t>ERD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Timekeeper: </w:t>
      </w:r>
      <w:r w:rsidR="006924D5">
        <w:rPr>
          <w:rFonts w:asciiTheme="minorHAnsi" w:hAnsiTheme="minorHAnsi"/>
        </w:rPr>
        <w:t>TBD</w:t>
      </w:r>
    </w:p>
    <w:p w:rsidR="002B0400" w:rsidRPr="00535017" w:rsidRDefault="0007729A" w:rsidP="00535017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Recorder: </w:t>
      </w:r>
      <w:r w:rsidR="006924D5">
        <w:rPr>
          <w:rFonts w:asciiTheme="minorHAnsi" w:hAnsiTheme="minorHAnsi"/>
        </w:rPr>
        <w:t>TBD</w:t>
      </w:r>
    </w:p>
    <w:p w:rsidR="00535017" w:rsidRPr="00535017" w:rsidRDefault="00535017" w:rsidP="00535017">
      <w:pPr>
        <w:spacing w:after="0" w:line="240" w:lineRule="auto"/>
        <w:rPr>
          <w:rFonts w:asciiTheme="minorHAnsi" w:hAnsiTheme="minorHAnsi"/>
          <w:b/>
          <w:sz w:val="10"/>
          <w:szCs w:val="10"/>
        </w:rPr>
      </w:pPr>
    </w:p>
    <w:p w:rsidR="00C75810" w:rsidRPr="006924D5" w:rsidRDefault="00444E1D" w:rsidP="006924D5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990" w:type="dxa"/>
        <w:tblInd w:w="108" w:type="dxa"/>
        <w:tblLook w:val="04A0"/>
      </w:tblPr>
      <w:tblGrid>
        <w:gridCol w:w="1038"/>
        <w:gridCol w:w="8952"/>
      </w:tblGrid>
      <w:tr w:rsidR="007839BC" w:rsidTr="006924D5">
        <w:trPr>
          <w:trHeight w:val="1601"/>
        </w:trPr>
        <w:tc>
          <w:tcPr>
            <w:tcW w:w="1038" w:type="dxa"/>
          </w:tcPr>
          <w:p w:rsidR="007839BC" w:rsidRDefault="007839BC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 min</w:t>
            </w:r>
          </w:p>
        </w:tc>
        <w:tc>
          <w:tcPr>
            <w:tcW w:w="8952" w:type="dxa"/>
          </w:tcPr>
          <w:p w:rsidR="006924D5" w:rsidRDefault="007839BC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</w:t>
            </w:r>
          </w:p>
          <w:p w:rsidR="007839BC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 </w:t>
            </w:r>
            <w:r w:rsidR="007839BC" w:rsidRPr="006924D5">
              <w:rPr>
                <w:sz w:val="24"/>
                <w:szCs w:val="24"/>
              </w:rPr>
              <w:t>team norm</w:t>
            </w:r>
            <w:r w:rsidR="00535017">
              <w:rPr>
                <w:sz w:val="24"/>
                <w:szCs w:val="24"/>
              </w:rPr>
              <w:t>s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timekeeper</w:t>
            </w:r>
          </w:p>
          <w:p w:rsidR="006924D5" w:rsidRP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recorder</w:t>
            </w:r>
          </w:p>
        </w:tc>
      </w:tr>
      <w:tr w:rsidR="007839BC" w:rsidTr="006924D5">
        <w:trPr>
          <w:trHeight w:val="2690"/>
        </w:trPr>
        <w:tc>
          <w:tcPr>
            <w:tcW w:w="1038" w:type="dxa"/>
          </w:tcPr>
          <w:p w:rsidR="007839BC" w:rsidRDefault="007839B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5 min</w:t>
            </w:r>
          </w:p>
        </w:tc>
        <w:tc>
          <w:tcPr>
            <w:tcW w:w="8952" w:type="dxa"/>
          </w:tcPr>
          <w:p w:rsidR="007839BC" w:rsidRDefault="007839BC" w:rsidP="00AD5A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specific purpose for observing instruction will vary based on where a school is in the Data Wise Improvement Process, and the tasks required for each of the key elements will vary based on this purpose. Today we will watch a video that will allow us to be a fly on the wall as the Murphy fifth-grade team meets immediately before a classroom observation. The video picks up this team in the spring of the school year when the team members are deep into implementing an action plan that they had </w:t>
            </w:r>
            <w:proofErr w:type="spellStart"/>
            <w:r>
              <w:rPr>
                <w:sz w:val="24"/>
                <w:szCs w:val="24"/>
              </w:rPr>
              <w:t>developmed</w:t>
            </w:r>
            <w:proofErr w:type="spellEnd"/>
            <w:r>
              <w:rPr>
                <w:sz w:val="24"/>
                <w:szCs w:val="24"/>
              </w:rPr>
              <w:t xml:space="preserve"> many months before. With respect to the Purpose and Tasks chart, the team is in column C: their purpose for observing practice is to act and assess progress.</w:t>
            </w:r>
          </w:p>
          <w:p w:rsidR="007839BC" w:rsidRPr="007839BC" w:rsidRDefault="007839BC" w:rsidP="00AD5A8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Handout: Purpose and Tasks c</w:t>
            </w:r>
            <w:r w:rsidRPr="007839BC">
              <w:rPr>
                <w:b/>
                <w:sz w:val="24"/>
                <w:szCs w:val="24"/>
              </w:rPr>
              <w:t>hart</w:t>
            </w:r>
          </w:p>
        </w:tc>
      </w:tr>
      <w:tr w:rsidR="007839BC" w:rsidTr="006924D5">
        <w:trPr>
          <w:trHeight w:val="935"/>
        </w:trPr>
        <w:tc>
          <w:tcPr>
            <w:tcW w:w="1038" w:type="dxa"/>
          </w:tcPr>
          <w:p w:rsidR="007839BC" w:rsidRDefault="006924D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7839BC" w:rsidRDefault="007839BC" w:rsidP="00AD5A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Background information on the Murphy School and how the fifth-grade team has </w:t>
            </w:r>
            <w:proofErr w:type="gramStart"/>
            <w:r>
              <w:rPr>
                <w:sz w:val="24"/>
                <w:szCs w:val="24"/>
              </w:rPr>
              <w:t>frame</w:t>
            </w:r>
            <w:proofErr w:type="gramEnd"/>
            <w:r>
              <w:rPr>
                <w:sz w:val="24"/>
                <w:szCs w:val="24"/>
              </w:rPr>
              <w:t xml:space="preserve"> its work thus far.</w:t>
            </w:r>
          </w:p>
          <w:p w:rsidR="007839BC" w:rsidRPr="007839BC" w:rsidRDefault="007839BC" w:rsidP="007839B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9BC">
              <w:rPr>
                <w:b/>
                <w:sz w:val="24"/>
                <w:szCs w:val="24"/>
              </w:rPr>
              <w:t>Handout: Background Information</w:t>
            </w:r>
          </w:p>
        </w:tc>
      </w:tr>
      <w:tr w:rsidR="007839BC" w:rsidTr="006924D5">
        <w:trPr>
          <w:trHeight w:val="2483"/>
        </w:trPr>
        <w:tc>
          <w:tcPr>
            <w:tcW w:w="1038" w:type="dxa"/>
          </w:tcPr>
          <w:p w:rsidR="007839BC" w:rsidRDefault="007839B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 min</w:t>
            </w:r>
          </w:p>
        </w:tc>
        <w:tc>
          <w:tcPr>
            <w:tcW w:w="8952" w:type="dxa"/>
          </w:tcPr>
          <w:p w:rsidR="007839BC" w:rsidRDefault="007839BC" w:rsidP="00AD5A8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>
              <w:rPr>
                <w:b/>
                <w:i/>
                <w:sz w:val="24"/>
                <w:szCs w:val="24"/>
              </w:rPr>
              <w:t>FOCUS</w:t>
            </w:r>
          </w:p>
          <w:p w:rsidR="007839BC" w:rsidRDefault="007839BC" w:rsidP="00AD5A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Take notes in preparation for discussion: What evidence do you see that that the fifth-grade team has met (or not met) each of the four objectives of a FOCUS meeting:</w:t>
            </w:r>
          </w:p>
          <w:p w:rsidR="007839BC" w:rsidRDefault="007839BC" w:rsidP="00AD5A8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problems of learning and teaching</w:t>
            </w:r>
          </w:p>
          <w:p w:rsidR="007839BC" w:rsidRDefault="007839BC" w:rsidP="00AD5A8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 context for the lesson</w:t>
            </w:r>
          </w:p>
          <w:p w:rsidR="007839BC" w:rsidRDefault="007839BC" w:rsidP="00AD5A8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how observers should focus their attention</w:t>
            </w:r>
          </w:p>
          <w:p w:rsidR="007839BC" w:rsidRDefault="007839BC" w:rsidP="00AD5A8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extent to which observers should interact with students</w:t>
            </w:r>
          </w:p>
          <w:p w:rsidR="007839BC" w:rsidRPr="007839BC" w:rsidRDefault="007839BC" w:rsidP="007839B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</w:t>
            </w:r>
          </w:p>
        </w:tc>
      </w:tr>
      <w:tr w:rsidR="007839BC" w:rsidTr="006924D5">
        <w:trPr>
          <w:trHeight w:val="746"/>
        </w:trPr>
        <w:tc>
          <w:tcPr>
            <w:tcW w:w="1038" w:type="dxa"/>
          </w:tcPr>
          <w:p w:rsidR="007839BC" w:rsidRDefault="006924D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 min</w:t>
            </w:r>
          </w:p>
        </w:tc>
        <w:tc>
          <w:tcPr>
            <w:tcW w:w="8952" w:type="dxa"/>
          </w:tcPr>
          <w:p w:rsidR="007839BC" w:rsidRDefault="007839BC" w:rsidP="002E6A14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Develop our skill at observing and communicating what we see.</w:t>
            </w:r>
          </w:p>
          <w:p w:rsidR="007839BC" w:rsidRPr="00E912D2" w:rsidRDefault="007839BC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912D2">
              <w:rPr>
                <w:b/>
                <w:bCs/>
                <w:sz w:val="26"/>
                <w:szCs w:val="26"/>
              </w:rPr>
              <w:t>Protocol</w:t>
            </w:r>
            <w:r>
              <w:rPr>
                <w:b/>
                <w:bCs/>
                <w:sz w:val="26"/>
                <w:szCs w:val="26"/>
              </w:rPr>
              <w:t>: Vivid Images</w:t>
            </w:r>
          </w:p>
        </w:tc>
      </w:tr>
      <w:tr w:rsidR="007839BC" w:rsidTr="006924D5">
        <w:trPr>
          <w:trHeight w:val="431"/>
        </w:trPr>
        <w:tc>
          <w:tcPr>
            <w:tcW w:w="1038" w:type="dxa"/>
          </w:tcPr>
          <w:p w:rsidR="007839BC" w:rsidRDefault="006924D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 min</w:t>
            </w:r>
          </w:p>
        </w:tc>
        <w:tc>
          <w:tcPr>
            <w:tcW w:w="8952" w:type="dxa"/>
          </w:tcPr>
          <w:p w:rsidR="007839BC" w:rsidRPr="006924D5" w:rsidRDefault="006924D5" w:rsidP="002B040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>
              <w:rPr>
                <w:b/>
                <w:i/>
                <w:sz w:val="24"/>
                <w:szCs w:val="24"/>
              </w:rPr>
              <w:t>OBSERVE</w:t>
            </w:r>
          </w:p>
        </w:tc>
      </w:tr>
      <w:tr w:rsidR="007839BC" w:rsidTr="006924D5">
        <w:trPr>
          <w:trHeight w:val="620"/>
        </w:trPr>
        <w:tc>
          <w:tcPr>
            <w:tcW w:w="1038" w:type="dxa"/>
          </w:tcPr>
          <w:p w:rsidR="007839BC" w:rsidRDefault="006924D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7839BC" w:rsidRDefault="007839BC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Looking ahead</w:t>
            </w:r>
          </w:p>
          <w:p w:rsidR="007839BC" w:rsidRPr="00C75810" w:rsidRDefault="007839BC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bookmarkStart w:id="0" w:name="_GoBack"/>
      <w:bookmarkEnd w:id="0"/>
    </w:p>
    <w:sectPr w:rsidR="006754F9" w:rsidRPr="005E3DA7" w:rsidSect="002B0400">
      <w:pgSz w:w="12240" w:h="15840"/>
      <w:pgMar w:top="1008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70FB7"/>
    <w:multiLevelType w:val="hybridMultilevel"/>
    <w:tmpl w:val="02AC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7580E"/>
    <w:multiLevelType w:val="hybridMultilevel"/>
    <w:tmpl w:val="B12C7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75FB3"/>
    <w:multiLevelType w:val="hybridMultilevel"/>
    <w:tmpl w:val="5FEA23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0960A9"/>
    <w:multiLevelType w:val="hybridMultilevel"/>
    <w:tmpl w:val="DB607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8F2BAD"/>
    <w:multiLevelType w:val="hybridMultilevel"/>
    <w:tmpl w:val="A960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9A18B3"/>
    <w:multiLevelType w:val="hybridMultilevel"/>
    <w:tmpl w:val="74F0AB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24"/>
  </w:num>
  <w:num w:numId="6">
    <w:abstractNumId w:val="15"/>
  </w:num>
  <w:num w:numId="7">
    <w:abstractNumId w:val="11"/>
  </w:num>
  <w:num w:numId="8">
    <w:abstractNumId w:val="22"/>
  </w:num>
  <w:num w:numId="9">
    <w:abstractNumId w:val="2"/>
  </w:num>
  <w:num w:numId="10">
    <w:abstractNumId w:val="10"/>
  </w:num>
  <w:num w:numId="11">
    <w:abstractNumId w:val="4"/>
  </w:num>
  <w:num w:numId="12">
    <w:abstractNumId w:val="7"/>
  </w:num>
  <w:num w:numId="13">
    <w:abstractNumId w:val="3"/>
  </w:num>
  <w:num w:numId="14">
    <w:abstractNumId w:val="12"/>
  </w:num>
  <w:num w:numId="15">
    <w:abstractNumId w:val="17"/>
  </w:num>
  <w:num w:numId="16">
    <w:abstractNumId w:val="1"/>
  </w:num>
  <w:num w:numId="17">
    <w:abstractNumId w:val="16"/>
  </w:num>
  <w:num w:numId="18">
    <w:abstractNumId w:val="21"/>
  </w:num>
  <w:num w:numId="19">
    <w:abstractNumId w:val="14"/>
  </w:num>
  <w:num w:numId="20">
    <w:abstractNumId w:val="23"/>
  </w:num>
  <w:num w:numId="21">
    <w:abstractNumId w:val="19"/>
  </w:num>
  <w:num w:numId="22">
    <w:abstractNumId w:val="18"/>
  </w:num>
  <w:num w:numId="23">
    <w:abstractNumId w:val="6"/>
  </w:num>
  <w:num w:numId="24">
    <w:abstractNumId w:val="20"/>
  </w:num>
  <w:num w:numId="25">
    <w:abstractNumId w:val="25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7729A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740A1"/>
    <w:rsid w:val="002A1BCA"/>
    <w:rsid w:val="002B0400"/>
    <w:rsid w:val="002D092E"/>
    <w:rsid w:val="002D5204"/>
    <w:rsid w:val="002E315A"/>
    <w:rsid w:val="002E6A14"/>
    <w:rsid w:val="00302880"/>
    <w:rsid w:val="0031724A"/>
    <w:rsid w:val="00320346"/>
    <w:rsid w:val="003455F3"/>
    <w:rsid w:val="00364AE5"/>
    <w:rsid w:val="003809FC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35017"/>
    <w:rsid w:val="005E3DA7"/>
    <w:rsid w:val="005E45EE"/>
    <w:rsid w:val="006117FD"/>
    <w:rsid w:val="00630C21"/>
    <w:rsid w:val="00645DBF"/>
    <w:rsid w:val="00674D6E"/>
    <w:rsid w:val="006754F9"/>
    <w:rsid w:val="006821E7"/>
    <w:rsid w:val="00687E8A"/>
    <w:rsid w:val="006924D5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39BC"/>
    <w:rsid w:val="007850FB"/>
    <w:rsid w:val="007B1E2C"/>
    <w:rsid w:val="00803395"/>
    <w:rsid w:val="00832F76"/>
    <w:rsid w:val="008927BA"/>
    <w:rsid w:val="008961E3"/>
    <w:rsid w:val="008A36A2"/>
    <w:rsid w:val="008C169E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6D51"/>
    <w:rsid w:val="00AC7594"/>
    <w:rsid w:val="00AD5A80"/>
    <w:rsid w:val="00AF65CF"/>
    <w:rsid w:val="00B20902"/>
    <w:rsid w:val="00BA46EA"/>
    <w:rsid w:val="00BA7128"/>
    <w:rsid w:val="00BE6051"/>
    <w:rsid w:val="00C27F31"/>
    <w:rsid w:val="00C30370"/>
    <w:rsid w:val="00C3406E"/>
    <w:rsid w:val="00C75810"/>
    <w:rsid w:val="00C83C60"/>
    <w:rsid w:val="00CD5364"/>
    <w:rsid w:val="00D25B44"/>
    <w:rsid w:val="00D40353"/>
    <w:rsid w:val="00D904BD"/>
    <w:rsid w:val="00DA07AA"/>
    <w:rsid w:val="00DB746D"/>
    <w:rsid w:val="00DC5C0B"/>
    <w:rsid w:val="00DD6ACA"/>
    <w:rsid w:val="00DE17A2"/>
    <w:rsid w:val="00DE57FF"/>
    <w:rsid w:val="00DF6975"/>
    <w:rsid w:val="00E912D2"/>
    <w:rsid w:val="00ED0937"/>
    <w:rsid w:val="00ED0C5D"/>
    <w:rsid w:val="00EE02D9"/>
    <w:rsid w:val="00EE3C0B"/>
    <w:rsid w:val="00F02965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4B65A-6B68-4295-BC96-2F90D33F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5</cp:revision>
  <cp:lastPrinted>2011-08-01T15:24:00Z</cp:lastPrinted>
  <dcterms:created xsi:type="dcterms:W3CDTF">2013-09-09T03:30:00Z</dcterms:created>
  <dcterms:modified xsi:type="dcterms:W3CDTF">2013-09-09T04:10:00Z</dcterms:modified>
</cp:coreProperties>
</file>